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1D23E">
      <w:pPr>
        <w:numPr>
          <w:ilvl w:val="0"/>
          <w:numId w:val="0"/>
        </w:num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关于天津市海河医院医用耗材院内论证的通知（2026年10月）</w:t>
      </w:r>
    </w:p>
    <w:p w14:paraId="654C056B"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需求内容：</w:t>
      </w:r>
    </w:p>
    <w:tbl>
      <w:tblPr>
        <w:tblStyle w:val="3"/>
        <w:tblW w:w="8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566"/>
        <w:gridCol w:w="1185"/>
        <w:gridCol w:w="4992"/>
      </w:tblGrid>
      <w:tr w14:paraId="5759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noWrap w:val="0"/>
            <w:vAlign w:val="center"/>
          </w:tcPr>
          <w:p w14:paraId="544E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66" w:type="dxa"/>
            <w:noWrap w:val="0"/>
            <w:vAlign w:val="center"/>
          </w:tcPr>
          <w:p w14:paraId="07BE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物资品名</w:t>
            </w:r>
          </w:p>
        </w:tc>
        <w:tc>
          <w:tcPr>
            <w:tcW w:w="1185" w:type="dxa"/>
            <w:noWrap w:val="0"/>
            <w:vAlign w:val="center"/>
          </w:tcPr>
          <w:p w14:paraId="148D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采购规格</w:t>
            </w:r>
          </w:p>
        </w:tc>
        <w:tc>
          <w:tcPr>
            <w:tcW w:w="4992" w:type="dxa"/>
            <w:noWrap w:val="0"/>
            <w:vAlign w:val="center"/>
          </w:tcPr>
          <w:p w14:paraId="281A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主要参数</w:t>
            </w:r>
          </w:p>
        </w:tc>
      </w:tr>
      <w:tr w14:paraId="58B61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D905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D1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</w:rPr>
              <w:t>一次性使用双囊三腔胃管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BA4E8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36245F">
            <w:pPr>
              <w:keepNext w:val="0"/>
              <w:keepLines w:val="0"/>
              <w:widowControl/>
              <w:suppressLineNumbers w:val="0"/>
              <w:tabs>
                <w:tab w:val="left" w:pos="1000"/>
              </w:tabs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1.适用范围：用于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食管胃底静脉曲张破裂大出血紧急压迫止血。</w:t>
            </w:r>
          </w:p>
          <w:p w14:paraId="09C9E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2.参数：由硅橡胶组成，管体内含三个腔道，并附有两个可充气的球囊。</w:t>
            </w:r>
          </w:p>
        </w:tc>
      </w:tr>
      <w:tr w14:paraId="737C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AAA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CC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火罐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97FEA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E322DB">
            <w:pPr>
              <w:keepNext w:val="0"/>
              <w:keepLines w:val="0"/>
              <w:widowControl/>
              <w:suppressLineNumbers w:val="0"/>
              <w:tabs>
                <w:tab w:val="left" w:pos="1000"/>
              </w:tabs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1.适用范围：以燃烧方式产生负压的罐状器具。预期用途：用于拔罐疗法。</w:t>
            </w:r>
          </w:p>
          <w:p w14:paraId="5FCDE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2.参数：全规格</w:t>
            </w:r>
          </w:p>
        </w:tc>
      </w:tr>
      <w:tr w14:paraId="1EF36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31BA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26C91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骨蜡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E8AB0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05D5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1.适用范围：用于神经外科骨创面毛细血管渗血时止血用。</w:t>
            </w:r>
          </w:p>
          <w:p w14:paraId="043E3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2.参数：骨蜡是由86%蜂蜡、4%医用凡士林和10%大豆油组成。</w:t>
            </w:r>
          </w:p>
        </w:tc>
      </w:tr>
      <w:tr w14:paraId="4ABBB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8DF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CF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硬脑（脊）膜补片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09913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0294D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1.适用范围：主要用于硬脑（脊）膜缺损时的修补或替代。</w:t>
            </w:r>
          </w:p>
          <w:p w14:paraId="5DE9DE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参数：人工合成可吸收材料(如聚乳酸及其共聚物）或动物源性胶原蛋白材料(如高纯度胶原蛋白)。应具备有利于组织修复的三维微观结构，可根据需要选择缝合或粘贴免缝合操作方式，应为可吸收/可降解材料。大小：(30-80)mm*(40-120)mm。</w:t>
            </w:r>
          </w:p>
        </w:tc>
      </w:tr>
      <w:tr w14:paraId="70FF6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35B6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E8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颅骨固定系统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BC66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1EF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1.适用范围：适用于颅骨骨折固定。                2.参数：由骨板和骨钉组成，由符合GB/T 13810标准规定的TC4钛合金材料制造。</w:t>
            </w:r>
          </w:p>
        </w:tc>
      </w:tr>
      <w:tr w14:paraId="0F39C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1B41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EBE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热稀释导管包及压力监测套装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6C4F9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BF1D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1.适用范围：该产品配合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PULSION监护仪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使用，用于测量手术和危重病人的心输出量和血流动力学参数。热稀释导管（PiCCO导管）可测量动脉血压和血温，也可获取动脉血液样本；压力监测套装可测量血压和血温。</w:t>
            </w:r>
          </w:p>
          <w:p w14:paraId="5BE4F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2.参数：由热稀释导管（PiCCO导管）包和压力监测套装组成。热稀释导管（PiCCO导管）包含有热稀释导管（PiCCO导管）、导丝、穿刺针和/或扩张器。压力监测套装含有压力传感器、压力连接管和注射液温度感受器。</w:t>
            </w:r>
          </w:p>
        </w:tc>
      </w:tr>
      <w:tr w14:paraId="78CA9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80E0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F1E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体外循环插管及穿刺附件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656C7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C902D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适用于血管的插管插入术，形成和体外循环其他部件的连接。静脉引流的途径常常通过股静脉，颈静脉或锁骨下静脉（静脉-动脉或静脉-静脉），动脉引流的途径常常通过股动脉（动脉-静脉）。动脉插管的进入常常通过股动脉，锁骨下动脉或颈动脉（静脉-动脉），或者通过对侧的颈静脉，锁骨下静脉或股静脉（静脉-静脉）和股静脉（动脉-静脉）。</w:t>
            </w:r>
          </w:p>
          <w:p w14:paraId="300E8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2.参数：本产品由体外循环插管及穿刺附件组成，其中插管带Bioline涂层，穿刺附件由穿刺针、扩张器、导丝、注射器和切开刀组成。本产品为一次性使用产品，环氧乙烷灭菌。</w:t>
            </w:r>
          </w:p>
        </w:tc>
      </w:tr>
      <w:tr w14:paraId="726E1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F4B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B59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体外循环套包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DF58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DF0A7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1.适用范围：用于体外循环手术支持</w:t>
            </w:r>
          </w:p>
          <w:p w14:paraId="03052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2.参数：PLS系统由离心泵泵头、氧合器和管路组成，整套管路带Bioline肝素涂层。</w:t>
            </w:r>
          </w:p>
        </w:tc>
      </w:tr>
      <w:tr w14:paraId="2791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EEA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094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一次性使用包皮切割吻合器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653CA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D7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1.适用范围：适用于临床包皮切割缝合手术。</w:t>
            </w:r>
          </w:p>
          <w:p w14:paraId="07BE6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主要由主体外壳、钉仓保护盖、顶体、环形切割刀、钉仓、缝合钉、凹形座、环形刀砧、保险销、活动手把、手柄支架、活动连片、移动器、定位调节旋钮、硅胶垫圈等部件组成。无菌提供，一次性使用。</w:t>
            </w:r>
          </w:p>
        </w:tc>
      </w:tr>
      <w:tr w14:paraId="07B09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D16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B8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通用腔镜切割吻合器及钉匣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E7349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3B2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1.适用范围：用于开放或腔镜下肺、胃、肠组织的切除、横断和吻合。不可用于切除、横断和吻合肝实质组织(肝脏血管系统和胆道结构)、胰腺、肾脏和脾脏。        2.参数：由手柄、击发扳机、保险扳机、旋转头、控弯扳手、复位帽、枪管、中心杆等组成。直线型、旋转型，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手动型。</w:t>
            </w:r>
          </w:p>
        </w:tc>
      </w:tr>
      <w:tr w14:paraId="60C75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C72F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A9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漂浮导管</w:t>
            </w:r>
          </w:p>
          <w:p w14:paraId="723E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静脉导管鞘套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9599E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F44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1.适用范围:测量肺动脉压，可获得全面的血流动力学参数，可监测前负荷、后负荷、心脏做功、氧代谢等各项参数，为临床诊断和治疗提供可靠依据。          2.参数:长度：110cm 管径：7.5F 球囊直径：13mm</w:t>
            </w:r>
          </w:p>
        </w:tc>
      </w:tr>
      <w:tr w14:paraId="6AFE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D3CC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4BA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静脉导管鞘套件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175DC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件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DFFADD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1.适用范围: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漂浮导管配合，协助导管进入静脉   </w:t>
            </w:r>
          </w:p>
          <w:p w14:paraId="3BD0958B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2.参数:8.5F，10cm长</w:t>
            </w:r>
          </w:p>
        </w:tc>
      </w:tr>
      <w:tr w14:paraId="6EB86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23A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64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过氧化氢低温等离子灭菌包内化学指示卡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84DA6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162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1.适用范围：适用于过氧化氢低温等离子灭菌系统，监测汽化过氧化氢灭菌过程，区分已/未灭菌物品。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2.参数:全程监测温度、过氧化氢浓度、暴露时间（4类综合指示物）。</w:t>
            </w:r>
          </w:p>
        </w:tc>
      </w:tr>
      <w:tr w14:paraId="675C8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079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82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空心纤维透析器（中空系型透析器）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DAAE4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2451A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1.适用范围：适用于急性或慢性肾功能衰竭患者的血液透析治疗。</w:t>
            </w:r>
          </w:p>
          <w:p w14:paraId="213AA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2.参数：主要由本体外壳、血液缓冲盖、中空纤维支撑体及中空纤维等组成。本体外壳材料为聚丙烯，中空纤维材料为三醋酸纤维素。本产品的整体包装为无菌和无热原。</w:t>
            </w:r>
          </w:p>
        </w:tc>
      </w:tr>
      <w:tr w14:paraId="0CBBA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286B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5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血浆滤过器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1AB58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24B1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1.适用范围：使用于血浆分离，适用于所有需血浆滤过的疾病，如：自身免疫性疾病，代谢性疾病，内、外源性毒血症。</w:t>
            </w:r>
          </w:p>
          <w:p w14:paraId="7F263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2.参数：膜材料、外壳和顶盖、封装材料、密封环、无菌保护帽等组成。膜材料：聚砜纤维膜；外壳和顶盖：聚碳酸酯；封装材料：聚氨酯；密封环：硅树脂；无菌保护帽：聚丙烯。</w:t>
            </w:r>
          </w:p>
        </w:tc>
      </w:tr>
      <w:tr w14:paraId="57C4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A06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2B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活检针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CAB9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798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1.使用范围：适用于获取骨和骨髓样本 。           2.参数：由针管、针芯、手柄、鲁尔帽和定位钮组成。其中针管和针芯的材料均为304不锈钢，活检针配件包括取样管（管体、座、外套）、闭孔探针（针芯、座、外套）、探针导向器、可调节针阻器和安全针装置。11G 8-16cm,手动型。</w:t>
            </w:r>
          </w:p>
        </w:tc>
      </w:tr>
      <w:tr w14:paraId="75191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6CA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B9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气管插管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F14E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BD44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1.适用范围：气管插管可以用于进行麻醉的口腔气管插管，以及在预计插管时间超过24小时的情况下使用。当由于大量分泌物在套囊上积聚或气管感染需要清除时，可使用Evac内腔。</w:t>
            </w:r>
          </w:p>
          <w:p w14:paraId="7021B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2.参数：由气管插管管体、15mm接头、锥形套囊、充气管、指示球囊、充气阀、墨菲孔和Evac吸引管组成。本产品为一次性使用产品。</w:t>
            </w:r>
          </w:p>
        </w:tc>
      </w:tr>
      <w:tr w14:paraId="4163D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E4BA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A6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一次性使用子宫颈扩张球囊导管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D424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C2F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1.适用范围：对于足月孕妇引产前对成熟度不佳的宫颈进行宫颈管的机械扩张，用来促宫颈成熟以增加经阴道分娩引产的成功率。</w:t>
            </w:r>
          </w:p>
          <w:p w14:paraId="45053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2.参数：由导管、球囊、尖端、充盈止逆阀、Y型连接器、锁定环、导丝扥等组成。球囊为硅胶材质，具备生物相容性，为双球囊设计，单个球囊充入量需达到80ml及以上。</w:t>
            </w:r>
          </w:p>
        </w:tc>
      </w:tr>
      <w:tr w14:paraId="29DB8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3C9A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40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20微孔板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CCCE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EFA47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1.适用范围：用于实验室细胞培养，优异的光学性质便于显微观察。</w:t>
            </w:r>
          </w:p>
          <w:p w14:paraId="1D45A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2.参数：多种孔数规格可选：6、12、24、48、96孔。有透明板、白色板和黑色板可选。孔缘高出，防止交叉污染，方便实验。可层叠放置，兼容性好，配合绝大多数设备使用。</w:t>
            </w:r>
          </w:p>
        </w:tc>
      </w:tr>
      <w:tr w14:paraId="4198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95BF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F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固定试管架(塑料)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76E86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CAEC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1.适用范围：主要用于生化室、试验室、检验科盛装试管。</w:t>
            </w:r>
          </w:p>
          <w:p w14:paraId="643F4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2.参数：试管架采用铝制板材或ABS塑料、PP塑料、不锈钢材质制成，具有经久耐用，不易损坏的特点</w:t>
            </w:r>
          </w:p>
        </w:tc>
      </w:tr>
    </w:tbl>
    <w:p w14:paraId="638D71CD">
      <w:pPr>
        <w:widowControl/>
        <w:shd w:val="clear" w:color="auto" w:fill="FFFFFF"/>
        <w:spacing w:after="190"/>
        <w:outlineLvl w:val="0"/>
        <w:rPr>
          <w:rFonts w:ascii="宋体" w:hAnsi="宋体" w:eastAsia="宋体" w:cs="宋体"/>
          <w:b/>
          <w:color w:val="FF0000"/>
          <w:spacing w:val="7"/>
          <w:kern w:val="36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pacing w:val="7"/>
          <w:kern w:val="36"/>
          <w:sz w:val="28"/>
          <w:szCs w:val="28"/>
        </w:rPr>
        <w:t>报名附件（附件1、附件2</w:t>
      </w:r>
      <w:r>
        <w:rPr>
          <w:rFonts w:hint="eastAsia" w:ascii="宋体" w:hAnsi="宋体" w:eastAsia="宋体" w:cs="宋体"/>
          <w:b/>
          <w:color w:val="FF0000"/>
          <w:spacing w:val="7"/>
          <w:kern w:val="36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color w:val="FF0000"/>
          <w:spacing w:val="7"/>
          <w:kern w:val="36"/>
          <w:sz w:val="28"/>
          <w:szCs w:val="28"/>
        </w:rPr>
        <w:t>附件</w:t>
      </w:r>
      <w:r>
        <w:rPr>
          <w:rFonts w:hint="eastAsia" w:ascii="宋体" w:hAnsi="宋体" w:eastAsia="宋体" w:cs="宋体"/>
          <w:b/>
          <w:color w:val="FF0000"/>
          <w:spacing w:val="7"/>
          <w:kern w:val="36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FF0000"/>
          <w:spacing w:val="7"/>
          <w:kern w:val="36"/>
          <w:sz w:val="28"/>
          <w:szCs w:val="28"/>
        </w:rPr>
        <w:t>请同时提交）：</w:t>
      </w:r>
    </w:p>
    <w:p w14:paraId="371D2915">
      <w:pPr>
        <w:numPr>
          <w:ilvl w:val="0"/>
          <w:numId w:val="0"/>
        </w:numPr>
        <w:jc w:val="left"/>
        <w:rPr>
          <w:rFonts w:hint="default" w:ascii="Calibri" w:hAnsi="Calibri" w:eastAsia="宋体" w:cs="Times New Roman"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附件1</w:t>
      </w:r>
    </w:p>
    <w:p w14:paraId="2D174B14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90"/>
        <w:ind w:left="363" w:hanging="363" w:firstLineChars="0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三证</w:t>
      </w: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（含供应商及生产商，不属于国家规定的医疗器械，请出具带相关的证明文件）：</w:t>
      </w:r>
      <w:r>
        <w:rPr>
          <w:rFonts w:hint="eastAsia" w:ascii="黑体" w:hAnsi="黑体" w:eastAsia="黑体" w:cs="黑体"/>
          <w:color w:val="000000"/>
          <w:kern w:val="2"/>
          <w:sz w:val="24"/>
          <w:szCs w:val="24"/>
          <w:lang w:val="en-US" w:eastAsia="zh-CN" w:bidi="ar-SA"/>
        </w:rPr>
        <w:t>须按照《医疗器械监督管理条例》的规定，</w:t>
      </w:r>
      <w:bookmarkStart w:id="0" w:name="OLE_LINK17"/>
      <w:bookmarkStart w:id="1" w:name="OLE_LINK16"/>
      <w:r>
        <w:rPr>
          <w:rFonts w:hint="eastAsia" w:ascii="黑体" w:hAnsi="黑体" w:eastAsia="黑体" w:cs="黑体"/>
          <w:color w:val="000000"/>
          <w:kern w:val="2"/>
          <w:sz w:val="24"/>
          <w:szCs w:val="24"/>
          <w:lang w:val="en-US" w:eastAsia="zh-CN" w:bidi="ar-SA"/>
        </w:rPr>
        <w:t>供应商</w:t>
      </w:r>
      <w:bookmarkEnd w:id="0"/>
      <w:bookmarkEnd w:id="1"/>
      <w:r>
        <w:rPr>
          <w:rFonts w:hint="eastAsia" w:ascii="黑体" w:hAnsi="黑体" w:eastAsia="黑体" w:cs="黑体"/>
          <w:color w:val="000000"/>
          <w:kern w:val="2"/>
          <w:sz w:val="24"/>
          <w:szCs w:val="24"/>
          <w:lang w:val="en-US" w:eastAsia="zh-CN" w:bidi="ar-SA"/>
        </w:rPr>
        <w:t>是所投产品的制造商，提供其医疗器械生产企业备案证明文件或医疗器械生产企业许可证；若供应商不是所投产品（第一类医疗器械除外）的制造商，提供其医疗器械经营企业备案证明文件或医疗器械经营企业许可证</w:t>
      </w:r>
    </w:p>
    <w:p w14:paraId="684B7ECE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90"/>
        <w:ind w:left="363" w:hanging="363" w:firstLineChars="0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生产厂家出具的供应商销售资质授权，授权</w:t>
      </w: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有效期&gt;6个月</w:t>
      </w:r>
    </w:p>
    <w:p w14:paraId="1C84E733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90"/>
        <w:ind w:left="363" w:hanging="363" w:firstLineChars="0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生产商具有职业健康安全管理体系认证、环境管理体系认证、医疗器械质量管理体系认证的，需提供有效期内复印件</w:t>
      </w:r>
      <w:bookmarkStart w:id="2" w:name="OLE_LINK9"/>
      <w:bookmarkStart w:id="3" w:name="OLE_LINK10"/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（非必须）</w:t>
      </w:r>
      <w:bookmarkEnd w:id="2"/>
      <w:bookmarkEnd w:id="3"/>
    </w:p>
    <w:p w14:paraId="4A6B097A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90"/>
        <w:ind w:left="363" w:hanging="363" w:firstLineChars="0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提供2024年度或2025年度任一月份依</w:t>
      </w:r>
      <w:r>
        <w:rPr>
          <w:rFonts w:hint="eastAsia" w:ascii="黑体" w:hAnsi="黑体" w:eastAsia="黑体" w:cs="黑体"/>
          <w:color w:val="000000"/>
          <w:kern w:val="2"/>
          <w:sz w:val="24"/>
          <w:szCs w:val="24"/>
          <w:lang w:val="zh-CN" w:eastAsia="zh-CN" w:bidi="ar-SA"/>
        </w:rPr>
        <w:t>法缴纳税收和社会保障资金的记录</w:t>
      </w:r>
    </w:p>
    <w:p w14:paraId="194F6D69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90"/>
        <w:ind w:left="363" w:hanging="363" w:firstLineChars="0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法人身份证扫描件及授权人身份证扫描件。</w:t>
      </w:r>
    </w:p>
    <w:p w14:paraId="5BAEA80C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90"/>
        <w:ind w:left="363" w:hanging="363" w:firstLineChars="0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产品说明书或功能性描述页面、医用耗材提供样品清晰照片</w:t>
      </w:r>
    </w:p>
    <w:p w14:paraId="7FF576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3" w:hanging="363" w:firstLineChars="0"/>
        <w:jc w:val="both"/>
        <w:textAlignment w:val="auto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所需产品参数对比表（格式自拟）</w:t>
      </w:r>
    </w:p>
    <w:p w14:paraId="5D35BF1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3" w:hanging="363" w:firstLineChars="0"/>
        <w:jc w:val="both"/>
        <w:textAlignment w:val="auto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报价单及供货周期等（因本文件为最终采集文件，请合理报价）</w:t>
      </w:r>
    </w:p>
    <w:p w14:paraId="458FCF2C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90"/>
        <w:ind w:left="363" w:hanging="363" w:firstLineChars="0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近3年</w:t>
      </w: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天津市</w:t>
      </w: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同类产品成交名单</w:t>
      </w:r>
    </w:p>
    <w:p w14:paraId="50AC3A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3" w:hanging="363" w:firstLineChars="0"/>
        <w:jc w:val="both"/>
        <w:textAlignment w:val="auto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近3年同类同型号产品成交名单成交记录合同、发票及验收复印件（以上缺一不可，遮挡为无效）。（非必须）</w:t>
      </w:r>
    </w:p>
    <w:p w14:paraId="32406D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08" w:firstLineChars="200"/>
        <w:jc w:val="both"/>
        <w:textAlignment w:val="auto"/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</w:p>
    <w:p w14:paraId="2E41FF31">
      <w:pPr>
        <w:widowControl w:val="0"/>
        <w:numPr>
          <w:ilvl w:val="0"/>
          <w:numId w:val="0"/>
        </w:numPr>
        <w:ind w:leftChars="0" w:firstLine="508" w:firstLineChars="200"/>
        <w:jc w:val="both"/>
        <w:rPr>
          <w:rFonts w:hint="default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pacing w:val="7"/>
          <w:kern w:val="36"/>
          <w:sz w:val="24"/>
          <w:szCs w:val="24"/>
          <w:lang w:val="en-US" w:eastAsia="zh-CN" w:bidi="ar-SA"/>
        </w:rPr>
        <w:t>附件2、附件3请见网页端</w:t>
      </w:r>
      <w:r>
        <w:rPr>
          <w:rFonts w:hint="eastAsia" w:ascii="黑体" w:hAnsi="黑体" w:eastAsia="黑体" w:cs="黑体"/>
          <w:b/>
          <w:bCs/>
          <w:color w:val="000000"/>
          <w:spacing w:val="7"/>
          <w:kern w:val="36"/>
          <w:sz w:val="24"/>
          <w:szCs w:val="24"/>
          <w:highlight w:val="red"/>
          <w:lang w:val="en-US" w:eastAsia="zh-CN" w:bidi="ar-SA"/>
        </w:rPr>
        <w:t>（附件3上传excel格式）</w:t>
      </w:r>
    </w:p>
    <w:p w14:paraId="797D97D6">
      <w:pPr>
        <w:rPr>
          <w:rFonts w:hint="default" w:ascii="宋体" w:hAnsi="宋体" w:eastAsia="宋体" w:cs="宋体"/>
          <w:b/>
          <w:color w:val="FF0000"/>
          <w:spacing w:val="7"/>
          <w:kern w:val="36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color w:val="FF0000"/>
          <w:spacing w:val="7"/>
          <w:kern w:val="36"/>
          <w:sz w:val="24"/>
          <w:szCs w:val="24"/>
        </w:rPr>
        <w:t>编制格式：以上内容需保证清晰有效，并附有目录，无需提交纸质文件，加盖公章。文件名以“联系人—供应商名称—联系电话”命名，发送至联系</w:t>
      </w:r>
      <w:r>
        <w:rPr>
          <w:rFonts w:hint="eastAsia" w:ascii="黑体" w:hAnsi="黑体" w:eastAsia="黑体" w:cs="宋体"/>
          <w:color w:val="FF0000"/>
          <w:spacing w:val="7"/>
          <w:kern w:val="36"/>
          <w:sz w:val="24"/>
          <w:szCs w:val="24"/>
          <w:lang w:val="en-US" w:eastAsia="zh-CN"/>
        </w:rPr>
        <w:t xml:space="preserve">邮箱hhyysbwzk@tj.gov.cn </w:t>
      </w:r>
      <w:r>
        <w:rPr>
          <w:rFonts w:hint="eastAsia" w:ascii="黑体" w:hAnsi="黑体" w:eastAsia="黑体" w:cs="宋体"/>
          <w:color w:val="FF0000"/>
          <w:spacing w:val="7"/>
          <w:kern w:val="36"/>
          <w:sz w:val="24"/>
          <w:szCs w:val="24"/>
        </w:rPr>
        <w:t>。</w:t>
      </w:r>
    </w:p>
    <w:p w14:paraId="22B7722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90"/>
        <w:textAlignment w:val="auto"/>
        <w:outlineLvl w:val="0"/>
        <w:rPr>
          <w:rFonts w:hint="default" w:ascii="宋体" w:hAnsi="宋体" w:eastAsia="宋体" w:cs="宋体"/>
          <w:b/>
          <w:color w:val="FF0000"/>
          <w:spacing w:val="7"/>
          <w:kern w:val="36"/>
          <w:sz w:val="28"/>
          <w:szCs w:val="28"/>
          <w:lang w:val="en-US" w:eastAsia="zh-CN"/>
        </w:rPr>
      </w:pP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AF0321"/>
    <w:multiLevelType w:val="multilevel"/>
    <w:tmpl w:val="63AF0321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0E145B"/>
    <w:rsid w:val="001742C4"/>
    <w:rsid w:val="00A36A82"/>
    <w:rsid w:val="012515C4"/>
    <w:rsid w:val="0160731E"/>
    <w:rsid w:val="023A4BFB"/>
    <w:rsid w:val="0292535A"/>
    <w:rsid w:val="03705A5F"/>
    <w:rsid w:val="03F6696A"/>
    <w:rsid w:val="04174FEC"/>
    <w:rsid w:val="04695C6C"/>
    <w:rsid w:val="04D24279"/>
    <w:rsid w:val="05A57ED0"/>
    <w:rsid w:val="05DD2351"/>
    <w:rsid w:val="061E7E2E"/>
    <w:rsid w:val="07131EBF"/>
    <w:rsid w:val="08D55CE0"/>
    <w:rsid w:val="08DD63D6"/>
    <w:rsid w:val="09054E97"/>
    <w:rsid w:val="09827B7C"/>
    <w:rsid w:val="09D26061"/>
    <w:rsid w:val="09F6418C"/>
    <w:rsid w:val="0A2148F3"/>
    <w:rsid w:val="0B0A15AD"/>
    <w:rsid w:val="0B125051"/>
    <w:rsid w:val="0B493CA4"/>
    <w:rsid w:val="0B7203C0"/>
    <w:rsid w:val="0BF42E07"/>
    <w:rsid w:val="0CBA4F02"/>
    <w:rsid w:val="0DDD048E"/>
    <w:rsid w:val="0DFA26A5"/>
    <w:rsid w:val="0E636F14"/>
    <w:rsid w:val="0F722315"/>
    <w:rsid w:val="0F775FD1"/>
    <w:rsid w:val="0F884F56"/>
    <w:rsid w:val="101624E7"/>
    <w:rsid w:val="10370378"/>
    <w:rsid w:val="109B7849"/>
    <w:rsid w:val="10F36FE9"/>
    <w:rsid w:val="11480CD7"/>
    <w:rsid w:val="118C747B"/>
    <w:rsid w:val="11A54E85"/>
    <w:rsid w:val="12663253"/>
    <w:rsid w:val="126B6274"/>
    <w:rsid w:val="1283439D"/>
    <w:rsid w:val="131C2CFB"/>
    <w:rsid w:val="136E2957"/>
    <w:rsid w:val="13914859"/>
    <w:rsid w:val="13AA3664"/>
    <w:rsid w:val="14C00A95"/>
    <w:rsid w:val="150A7E36"/>
    <w:rsid w:val="168D721F"/>
    <w:rsid w:val="17353366"/>
    <w:rsid w:val="1753570E"/>
    <w:rsid w:val="17806D5A"/>
    <w:rsid w:val="17A96653"/>
    <w:rsid w:val="18821DA1"/>
    <w:rsid w:val="18E315A4"/>
    <w:rsid w:val="197224B3"/>
    <w:rsid w:val="19CE6112"/>
    <w:rsid w:val="1A221459"/>
    <w:rsid w:val="1A7C004F"/>
    <w:rsid w:val="1B8B3BA8"/>
    <w:rsid w:val="1B9E7E6B"/>
    <w:rsid w:val="1C12501E"/>
    <w:rsid w:val="1C8A2CB2"/>
    <w:rsid w:val="1CFB5158"/>
    <w:rsid w:val="1CFE5CD1"/>
    <w:rsid w:val="1D3A4B7F"/>
    <w:rsid w:val="1D446ED2"/>
    <w:rsid w:val="1D85210B"/>
    <w:rsid w:val="1DF223D6"/>
    <w:rsid w:val="1EA17AAE"/>
    <w:rsid w:val="1EFE61EA"/>
    <w:rsid w:val="1F460C2C"/>
    <w:rsid w:val="1FB860F7"/>
    <w:rsid w:val="1FBD17B6"/>
    <w:rsid w:val="207730B4"/>
    <w:rsid w:val="221743D8"/>
    <w:rsid w:val="22816667"/>
    <w:rsid w:val="22C3402B"/>
    <w:rsid w:val="2322461A"/>
    <w:rsid w:val="244265D5"/>
    <w:rsid w:val="24531046"/>
    <w:rsid w:val="24555B04"/>
    <w:rsid w:val="248D5754"/>
    <w:rsid w:val="24B677D2"/>
    <w:rsid w:val="25BE30F8"/>
    <w:rsid w:val="25C2748B"/>
    <w:rsid w:val="261551F9"/>
    <w:rsid w:val="26E11302"/>
    <w:rsid w:val="276149FF"/>
    <w:rsid w:val="277269C0"/>
    <w:rsid w:val="282C781E"/>
    <w:rsid w:val="283B209A"/>
    <w:rsid w:val="287405B8"/>
    <w:rsid w:val="28C74702"/>
    <w:rsid w:val="28C7704D"/>
    <w:rsid w:val="28EA2682"/>
    <w:rsid w:val="28F80F3B"/>
    <w:rsid w:val="293B4E0D"/>
    <w:rsid w:val="29B37D63"/>
    <w:rsid w:val="29BB2501"/>
    <w:rsid w:val="2A0B5151"/>
    <w:rsid w:val="2A8E4A3A"/>
    <w:rsid w:val="2A914D5B"/>
    <w:rsid w:val="2A9B7174"/>
    <w:rsid w:val="2AEC03DE"/>
    <w:rsid w:val="2B70650C"/>
    <w:rsid w:val="2BB84374"/>
    <w:rsid w:val="2C2666BC"/>
    <w:rsid w:val="2CA970B8"/>
    <w:rsid w:val="2D185215"/>
    <w:rsid w:val="2D2839B9"/>
    <w:rsid w:val="2D8017AD"/>
    <w:rsid w:val="2DF556FB"/>
    <w:rsid w:val="2E124F69"/>
    <w:rsid w:val="2F18318B"/>
    <w:rsid w:val="2F3E191F"/>
    <w:rsid w:val="2FB22FD6"/>
    <w:rsid w:val="31336B36"/>
    <w:rsid w:val="32C739DA"/>
    <w:rsid w:val="32E53E60"/>
    <w:rsid w:val="33403227"/>
    <w:rsid w:val="33572098"/>
    <w:rsid w:val="34A05A69"/>
    <w:rsid w:val="353D18B7"/>
    <w:rsid w:val="35E6061B"/>
    <w:rsid w:val="36626175"/>
    <w:rsid w:val="36A46A31"/>
    <w:rsid w:val="373D14AE"/>
    <w:rsid w:val="377A57ED"/>
    <w:rsid w:val="379522F8"/>
    <w:rsid w:val="38E63784"/>
    <w:rsid w:val="38FE1725"/>
    <w:rsid w:val="39927D76"/>
    <w:rsid w:val="3A687850"/>
    <w:rsid w:val="3A8A61B7"/>
    <w:rsid w:val="3AA56846"/>
    <w:rsid w:val="3AE55345"/>
    <w:rsid w:val="3AEA144B"/>
    <w:rsid w:val="3BEF351D"/>
    <w:rsid w:val="3C026C5B"/>
    <w:rsid w:val="3CB32287"/>
    <w:rsid w:val="3D1A34EA"/>
    <w:rsid w:val="3DD32A7A"/>
    <w:rsid w:val="3E255738"/>
    <w:rsid w:val="3E820119"/>
    <w:rsid w:val="3FEF796B"/>
    <w:rsid w:val="40BA3CE7"/>
    <w:rsid w:val="41521731"/>
    <w:rsid w:val="41DD5026"/>
    <w:rsid w:val="41DD5C2F"/>
    <w:rsid w:val="42537038"/>
    <w:rsid w:val="435C7AA3"/>
    <w:rsid w:val="44CE39BF"/>
    <w:rsid w:val="453F0526"/>
    <w:rsid w:val="45A51959"/>
    <w:rsid w:val="45BE3FA4"/>
    <w:rsid w:val="46136706"/>
    <w:rsid w:val="46D137CC"/>
    <w:rsid w:val="46E408C1"/>
    <w:rsid w:val="470C1725"/>
    <w:rsid w:val="47113AD4"/>
    <w:rsid w:val="474115C2"/>
    <w:rsid w:val="47D84AA5"/>
    <w:rsid w:val="48D22201"/>
    <w:rsid w:val="490E145B"/>
    <w:rsid w:val="4A653DAC"/>
    <w:rsid w:val="4B8060C5"/>
    <w:rsid w:val="4BC4229A"/>
    <w:rsid w:val="4BE40D8D"/>
    <w:rsid w:val="4BED375A"/>
    <w:rsid w:val="4C3F0E54"/>
    <w:rsid w:val="4C940529"/>
    <w:rsid w:val="4CD83568"/>
    <w:rsid w:val="4CEE45F4"/>
    <w:rsid w:val="4DD47A50"/>
    <w:rsid w:val="4DF67E1E"/>
    <w:rsid w:val="4E9C3B15"/>
    <w:rsid w:val="4EEB5EF1"/>
    <w:rsid w:val="4F195165"/>
    <w:rsid w:val="4F757736"/>
    <w:rsid w:val="4F7A5C10"/>
    <w:rsid w:val="4FB141E2"/>
    <w:rsid w:val="4FF327A2"/>
    <w:rsid w:val="50BA6475"/>
    <w:rsid w:val="51292CF0"/>
    <w:rsid w:val="514566E6"/>
    <w:rsid w:val="52095134"/>
    <w:rsid w:val="52EA30A1"/>
    <w:rsid w:val="530D6D8F"/>
    <w:rsid w:val="535E0F59"/>
    <w:rsid w:val="5470546B"/>
    <w:rsid w:val="556164D7"/>
    <w:rsid w:val="556B02BA"/>
    <w:rsid w:val="56DA065A"/>
    <w:rsid w:val="575A318F"/>
    <w:rsid w:val="57722F85"/>
    <w:rsid w:val="582766F0"/>
    <w:rsid w:val="59001004"/>
    <w:rsid w:val="5A1F35A9"/>
    <w:rsid w:val="5A8A7BDA"/>
    <w:rsid w:val="5ABD4385"/>
    <w:rsid w:val="5AC066FC"/>
    <w:rsid w:val="5AD05462"/>
    <w:rsid w:val="5B783BA2"/>
    <w:rsid w:val="5C273D76"/>
    <w:rsid w:val="5CCC606C"/>
    <w:rsid w:val="5D267503"/>
    <w:rsid w:val="5E3B3BD6"/>
    <w:rsid w:val="5EA47676"/>
    <w:rsid w:val="5ED2780B"/>
    <w:rsid w:val="5F033C91"/>
    <w:rsid w:val="5F5E3448"/>
    <w:rsid w:val="5FC64FFA"/>
    <w:rsid w:val="5FFF5B89"/>
    <w:rsid w:val="602D5807"/>
    <w:rsid w:val="603B4C4B"/>
    <w:rsid w:val="60B35966"/>
    <w:rsid w:val="60E16518"/>
    <w:rsid w:val="61335CA4"/>
    <w:rsid w:val="615A3AE7"/>
    <w:rsid w:val="61EF085F"/>
    <w:rsid w:val="621E7BB7"/>
    <w:rsid w:val="62AF7E63"/>
    <w:rsid w:val="62FF773D"/>
    <w:rsid w:val="63367C06"/>
    <w:rsid w:val="63A972BC"/>
    <w:rsid w:val="63E0229F"/>
    <w:rsid w:val="646E0F8C"/>
    <w:rsid w:val="64AC792D"/>
    <w:rsid w:val="652D74AC"/>
    <w:rsid w:val="65602A06"/>
    <w:rsid w:val="66B1636D"/>
    <w:rsid w:val="66C07BC1"/>
    <w:rsid w:val="67BA52E0"/>
    <w:rsid w:val="69117BE2"/>
    <w:rsid w:val="69194A95"/>
    <w:rsid w:val="69801527"/>
    <w:rsid w:val="69851BBE"/>
    <w:rsid w:val="6A09387E"/>
    <w:rsid w:val="6A8E30F8"/>
    <w:rsid w:val="6B2D3D71"/>
    <w:rsid w:val="6B6A7E2C"/>
    <w:rsid w:val="6C1A2C05"/>
    <w:rsid w:val="6C2C7E2E"/>
    <w:rsid w:val="6C3F1D6B"/>
    <w:rsid w:val="6CB355ED"/>
    <w:rsid w:val="6CF03800"/>
    <w:rsid w:val="6D0E77C6"/>
    <w:rsid w:val="6D654830"/>
    <w:rsid w:val="6E2B02EC"/>
    <w:rsid w:val="6F2D4747"/>
    <w:rsid w:val="6F484A63"/>
    <w:rsid w:val="6F560F2C"/>
    <w:rsid w:val="706D7C7A"/>
    <w:rsid w:val="70932B72"/>
    <w:rsid w:val="70D23333"/>
    <w:rsid w:val="71677D4A"/>
    <w:rsid w:val="717C1858"/>
    <w:rsid w:val="7195027D"/>
    <w:rsid w:val="7216344B"/>
    <w:rsid w:val="7220745D"/>
    <w:rsid w:val="72DB4460"/>
    <w:rsid w:val="72FC71DD"/>
    <w:rsid w:val="73B2271D"/>
    <w:rsid w:val="73C34274"/>
    <w:rsid w:val="74230156"/>
    <w:rsid w:val="74716FDA"/>
    <w:rsid w:val="747A53E5"/>
    <w:rsid w:val="748F2B35"/>
    <w:rsid w:val="74B51309"/>
    <w:rsid w:val="74BF1D27"/>
    <w:rsid w:val="75AC6455"/>
    <w:rsid w:val="761A52FA"/>
    <w:rsid w:val="766227CA"/>
    <w:rsid w:val="76786D54"/>
    <w:rsid w:val="76911902"/>
    <w:rsid w:val="769136B0"/>
    <w:rsid w:val="76B455F0"/>
    <w:rsid w:val="76D67150"/>
    <w:rsid w:val="76DB14E4"/>
    <w:rsid w:val="76DD7B09"/>
    <w:rsid w:val="76FA1BEC"/>
    <w:rsid w:val="77A47413"/>
    <w:rsid w:val="77BC475C"/>
    <w:rsid w:val="78511FB1"/>
    <w:rsid w:val="790953D4"/>
    <w:rsid w:val="7A213366"/>
    <w:rsid w:val="7AFB1A3F"/>
    <w:rsid w:val="7BA37ED0"/>
    <w:rsid w:val="7C0D31B3"/>
    <w:rsid w:val="7C2D59B5"/>
    <w:rsid w:val="7CCB606E"/>
    <w:rsid w:val="7CD214FA"/>
    <w:rsid w:val="7DAA4898"/>
    <w:rsid w:val="7DEC38C1"/>
    <w:rsid w:val="7E0208DA"/>
    <w:rsid w:val="7E896E47"/>
    <w:rsid w:val="7EF95930"/>
    <w:rsid w:val="7F307D4A"/>
    <w:rsid w:val="7F570BEB"/>
    <w:rsid w:val="7F8E4B13"/>
    <w:rsid w:val="7F92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2288</Words>
  <Characters>2460</Characters>
  <Lines>0</Lines>
  <Paragraphs>0</Paragraphs>
  <TotalTime>0</TotalTime>
  <ScaleCrop>false</ScaleCrop>
  <LinksUpToDate>false</LinksUpToDate>
  <CharactersWithSpaces>2513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2025-02-13T02:20:00Z</dcterms:created>
  <dc:creator>叮叮</dc:creator>
  <cp:lastModifiedBy>卷心菜</cp:lastModifiedBy>
  <cp:lastPrinted>2025-02-14T02:02:00Z</cp:lastPrinted>
  <dcterms:modified xsi:type="dcterms:W3CDTF">2026-10-10T02:54:10Z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4365816BD9F54207B9A4832F49C8EE44_13</vt:lpwstr>
  </property>
  <property fmtid="{D5CDD505-2E9C-101B-9397-08002B2CF9AE}" pid="4" name="KSOTemplateDocerSaveRecord">
    <vt:lpwstr>eyJoZGlkIjoiMzMwODU5ZjQ3ZTQ0NWZmYjljNGM2NWM2NDgwNDI0MmYiLCJ1c2VySWQiOiIyOTMyMTUxOTIifQ==</vt:lpwstr>
  </property>
</Properties>
</file>