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天津市海河医院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天津市海河医院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市卫生健康委直属的一家以治疗呼吸疾病为主的现代化三级甲等综合公立医院，是天津市公共卫生体系的重要组成部分。建院以来，医院秉承“海纳百川、和谐共进”的院训，“ 以人为本、患者至上 ”的宗旨，倡导“打造平战结合医疗模式 ”“集中优势发展临床科室特色 ”“优质护理服务 ”“积极推进临床合理用药 ”“推动医教研协同发展 ”等先进理念，恪守公益化职责，致力于为健康需求者提供忠诚服务</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天津市海河医院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天津市海河医院（本级）。</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天津市海河医院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207287430.77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575170801.27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875306127.86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146744623.88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12550100.00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929202855.92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888006227.86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2244848.72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46392523.58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7828678.71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4877631.91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7828678.71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939276383.35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939276383.35</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天津市海河医院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929202855.92</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207287430.77</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575170801.27</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146744623.88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2080116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916502755.92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194587330.77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575170801.27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146744623.88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902316425.15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180401000.00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575170801.27</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146744623.88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446009115.69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153108000.00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292901115.69</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其他专科医院</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456307309.46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27293000.00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282269685.58</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146744623.88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9891030.77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9891030.77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5126030.77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5126030.77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其他公共卫生支出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4356000.00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4356000.00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4295300.00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4295300.00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2951300.00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2951300.00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1344000.00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1344000.00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12550100.00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12550100.00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12550100.00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12550100.00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12550100.00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12550100.00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天津市海河医院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939276383.35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929202855.92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207287430.77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575170801.27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146744623.88</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368210</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天津市海河医院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939276383.35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929202855.92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207287430.77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575170801.27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146744623.88</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天津市海河医院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10073527.43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10073527.43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10073527.43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368210</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天津市海河医院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10073527.43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10073527.43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10073527.43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天津市海河医院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888006227.86</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416454934.60</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471551293.26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人力资源和社会保障管理事务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2080116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引进人才费用</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875306127.86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416454934.60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458851193.26</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公立医院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861119797.09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412159634.60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448960162.49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综合医院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448960162.49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448960162.49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其他专科医院</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412159634.60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412159634.60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公共卫生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9891030.77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9891030.77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基本公共卫生服务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409000.00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重大公共卫生服务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5126030.77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5126030.77</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其他公共卫生支出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4356000.00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4356000.00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4295300.00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4295300.00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2951300.00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2951300.00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天津市海河医院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207287430.77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150000.00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194587330.77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194587330.77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12550100.00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12550100.00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207287430.77</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207287430.77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207287430.77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207287430.77</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207287430.77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207287430.77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天津市海河医院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207287430.77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31588300.00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30750300.00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175699130.77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人力资源和社会保障管理事务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引进人才费用</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194587330.77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31588300.00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30750300.00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162999030.77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公立医院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180401000.00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27293000.00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26455000.00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153108000.00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综合医院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153108000.00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153108000.00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其他专科医院</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27293000.00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27293000.00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26455000.00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838000.00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公共卫生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9891030.77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9891030.77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基本公共卫生服务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409000.00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重大公共卫生服务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5126030.77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5126030.77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其他公共卫生支出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4356000.00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4356000.00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4295300.00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4295300.00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4295300.00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2951300.00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2951300.00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2951300.00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1344000.00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地方政府一般债券付息支出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12550100.00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天津市海河医院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26438000.00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838000.00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838000.00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15418000.00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7709000.00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2701000.00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610000.00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4312300.00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572807.68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2755192.32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984300.00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30750300.00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838000.00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天津市海河医院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天津市海河医院2025年度政府性基金预算财政拨款收入支出决算表为空表。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天津市海河医院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天津市海河医院2025年度国有资本经营预算财政拨款收入支出决算表为空表。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天津市海河医院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天津市海河医院2025年财政拨款“三公”经费支出决算表为空表。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天津市海河医院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471551293.26</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175699130.77</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295852162.49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人力资源和社会保障管理事务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引进人才费用</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2080116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第二批卫生健康行业高层次人才选拔培养工程第一年度资助经费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458851193.26</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162999030.77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295852162.49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448960162.49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153108000.00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295852162.49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综合医院</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448960162.49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153108000.00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295852162.49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承担公共卫生服务任务公立医院人员补贴（2025年市级）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23127000.00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23127000.00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第二批患者救治费用（2025市级）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儿科医师岗位补助（2025年市级）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公立医院综合改革（2025年中央医疗服务与保障能力提升）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患者救治费用(2025年市级）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659000.00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659000.00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患者救治费用（2025市级）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市海河医院甲楼传染病区等改扩建工程项目（2025年一般债券）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天津市海河医院专科学科能力建设（2025年一般债券）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8000000.00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突发事件应急处置及应急能力提升（2025年市级）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卫生健康系统对口支援帮扶（2025年市级）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321000.00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321000.00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中医药事业创新发展（2025年市级）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科教项目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6952377.57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6952377.57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自有收入-信息化及其他</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22213436.95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22213436.95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自有收入-工程建设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2107310.30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2107310.30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自有收入-药品耗材资产购置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264579037.67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264579037.67</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9891030.77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9891030.77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基本公共卫生服务-慢阻肺筛查项目（2025年市级）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409000.00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5126030.77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5126030.77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结核病防治（2024年中央重大传染病防控经费）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213400.00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213400.00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结核病防治（2024年中央重大传染病防控经费-第二批）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结核病防治（2025年中央重大公共卫生服务）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583630.77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583630.77</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精神卫生和慢性非传染性病防治（慢性呼吸疾病高危人群筛查和干预）（2025年中央重大公共卫生服务）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660000.00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660000.00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能力提升(2025年中央重大公共卫生服务）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2500000.00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重点传染病及健康危害因素监测（细菌性传染病监测（国家致病菌识别网））（2025年中央重大公共卫生服务）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重点传染病及健康危害因素监测（新冠变异监测（本土变异监测））（2025年中央重大公共卫生服务）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49000.00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其他公共卫生支出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4356000.00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4356000.00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公共卫生结核病防治、筛查-疾控（2025年市级）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4256000.00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4256000.00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基层慢病管理及救治单元能力提升（2025年市级）</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12550100.00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12550100.00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12550100.00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12550100.00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12550100.00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12550100.00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市海河医院甲楼传染病区等改扩建工程项目（2025年一般债券付息）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1266000.00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1266000.00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一般债券-公立医院诊疗服务能力提升（基本建设提升改造）（2025年一般债付息）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1985000.00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1985000.00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一般债券-海河医院四期配套工程项目（2025年一般债付息）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1859900.00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1859900.00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一般债券-天津市海河医院甲楼传染病区等改扩建工程项目（2025年一般债付息）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5298500.00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5298500.00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一般债券-天津市海河医院整体应急修缮工程（2025年一般债付息）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2140700.00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2140700.00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天津市海河医院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939,276,383.35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增加399,976,071.53元，增长74.17%</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2025年财政项目拨款以及银行流动资金贷款增加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一般公共预算财政拨款收入207,287,430.77元、事业收入575,170,801.27元、其他收入146,744,623.88元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社会保障和就业支出150,000.00元、卫生健康支出875,306,127.86元、债务付息支出12,550,100.00元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天津市海河医院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929,202,855.92</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增加403,924,400.44元，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2025年财政项目拨款收入以及银行流动资金贷款增加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一般公共预算财政拨款收入207,287,430.77元，占22.31%；事业收入575,170,801.27元，占61.90%；其他收入146,744,623.88元，占15.79%</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天津市海河医院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888,006,227.86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增加381,015,664.80元，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2025年银行贷款支出及财政拨款支出增加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基本支出416,454,934.60元，占46.90%；项目支出471,551,293.26元，占53.10%</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天津市海河医院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207,287,430.77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增加150,196,527.89元，增长263.08%，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2025年财政项目拨款增加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一般公共预算财政拨款207,287,430.77元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社会保障和就业支出150,000.00元、卫生健康支出194,587,330.77元、债务付息支出12,550,100.00元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天津市海河医院2025年度一般公共预算财政拨款支出合计207,287,430.77元，占本年支出合计的23.34%。与2024年度相比，一般公共预算财政拨款支出</w:t>
      </w:r>
      <w:r>
        <w:rPr>
          <w:rFonts w:eastAsia="仿宋_GB2312" w:hint="eastAsia"/>
          <w:sz w:val="30"/>
          <w:szCs w:val="30"/>
          <w:highlight w:val="none"/>
          <w:lang w:val="en-US" w:eastAsia="zh-CN"/>
        </w:rPr>
        <w:t xml:space="preserve">增加150,196,527.89元</w:t>
      </w:r>
      <w:r>
        <w:rPr>
          <w:rFonts w:eastAsia="仿宋_GB2312" w:hint="eastAsia"/>
          <w:sz w:val="30"/>
          <w:szCs w:val="30"/>
          <w:highlight w:val="none"/>
          <w:lang w:val="en-US" w:eastAsia="zh-CN"/>
        </w:rPr>
        <w:t xml:space="preserve">，增长263.08%</w:t>
      </w:r>
      <w:r>
        <w:rPr>
          <w:rFonts w:eastAsia="仿宋_GB2312" w:hint="eastAsia"/>
          <w:sz w:val="30"/>
          <w:szCs w:val="30"/>
          <w:highlight w:val="none"/>
          <w:lang w:val="en-US" w:eastAsia="zh-CN"/>
        </w:rPr>
        <w:t xml:space="preserve">，主要原因是2025年财政项目拨款增加。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2025年度一般公共预算财政拨款支出207,287,430.77元，主要用于以下方面：</w:t>
      </w:r>
      <w:r>
        <w:rPr>
          <w:rFonts w:eastAsia="仿宋_GB2312" w:hint="eastAsia"/>
          <w:sz w:val="30"/>
          <w:szCs w:val="30"/>
          <w:highlight w:val="none"/>
        </w:rPr>
        <w:t xml:space="preserve">社会保障和就业支出（类）支出150,000.00元，占0.07%，卫生健康支出（类）支出194,587,330.77元，占93.87%，债务付息支出（类）支出12,550,100.00元，占6.06%</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2025年度一般公共预算财政拨款支出年初预算为90,290,500.00元，支出决算为207,287,430.77元</w:t>
      </w:r>
      <w:r>
        <w:rPr>
          <w:rFonts w:eastAsia="仿宋_GB2312" w:hint="eastAsia"/>
          <w:sz w:val="30"/>
          <w:szCs w:val="30"/>
          <w:highlight w:val="none"/>
          <w:lang w:val="en-US" w:eastAsia="zh-CN"/>
        </w:rPr>
        <w:t xml:space="preserve">，完成年初预算的229.58%</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人力资源和社会保障管理事务（款）引进人才费用（项）年初预算为0.00元，支出决算为150,000.00元，决算数大于年初预算数的主要原因是：该项目年初无预算，年中追加引进人才费用项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卫生健康支出（类）公立医院（款）综合医院（项）年初预算为36,778,000.00元，支出决算为153,108,000.00元，完成年初预算的416.30%，决算数大于年初预算数的主要原因是：年中追加患者救治费用（2025市级）及市海河医院甲楼传染病区等改扩建工程项目（2025年一般债券）项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3.卫生健康支出（类）公立医院（款）其他专科医院（项）年初预算为27,249,000.00元，支出决算为27,293,000.00元，完成年初预算的100.16%，决算数大于年初预算数的主要原因是：年中追加基本工资增资项目。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4.卫生健康支出（类）公共卫生（款）基本公共卫生服务（项）年初预算为409,000.00元，支出决算为409,000.00元，完成年初预算的100.00%，决算数与年初预算数持平的主要原因是：按计划完成了预算执行。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5.卫生健康支出（类）公共卫生（款）重大公共卫生服务（项）年初预算为6,109,400.00元，支出决算为5,126,030.77元，完成年初预算的83.90%，决算数小于年初预算数的主要原因是：央转跨年项目，结转下年。</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6.卫生健康支出（类）公共卫生（款）其他公共卫生支出（项）年初预算为4,356,000.00元，支出决算为4,356,000.00元，完成年初预算的100.00%，决算数与年初预算数持平的主要原因是：按计划完成了预算执行。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行政事业单位医疗（款）事业单位医疗（项）年初预算为2,761,000.00元，支出决算为2,951,300.00元，完成年初预算的106.89%，决算数大于年初预算数的主要原因是：年中追加2025年离休干部医药费项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卫生健康支出（类）行政事业单位医疗（款）其他行政事业单位医疗支出（项）年初预算为1,344,000.00元，支出决算为1,344,000.00元，完成年初预算的100.00%，决算数与年初预算数持平的主要原因是：按计划完成了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9.债务付息支出（类）地方政府一般债务付息支出（款）地方政府一般债券付息支出（项）年初预算为11,284,100.00元，支出决算为12,550,100.00元，完成年初预算的111.22%，决算数大于年初预算数的主要原因是：年中追加市海河医院甲楼传染病区等改扩建工程项目（2025年一般债券付息）项目。</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天津市海河医院2025年度一般公共预算财政拨款基本支出合计31,588,300.00元，与2024年度相比</w:t>
      </w:r>
      <w:r>
        <w:rPr>
          <w:rFonts w:eastAsia="仿宋_GB2312" w:hint="eastAsia"/>
          <w:sz w:val="30"/>
          <w:szCs w:val="30"/>
          <w:highlight w:val="none"/>
          <w:lang w:val="en-US" w:eastAsia="zh-CN"/>
        </w:rPr>
        <w:t xml:space="preserve">减少3,318,500.00元，</w:t>
      </w:r>
      <w:r>
        <w:rPr>
          <w:rFonts w:eastAsia="仿宋_GB2312" w:hint="eastAsia"/>
          <w:sz w:val="30"/>
          <w:szCs w:val="30"/>
          <w:highlight w:val="none"/>
          <w:lang w:val="en-US" w:eastAsia="zh-CN"/>
        </w:rPr>
        <w:t xml:space="preserve">主要原因是人员经费拨款减少。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人员经费30,750,300.00元，主要包括</w:t>
      </w:r>
      <w:r>
        <w:rPr>
          <w:rFonts w:eastAsia="仿宋_GB2312" w:hint="eastAsia"/>
          <w:sz w:val="30"/>
          <w:szCs w:val="30"/>
          <w:highlight w:val="none"/>
          <w:lang w:val="en-US" w:eastAsia="zh-CN"/>
        </w:rPr>
        <w:t xml:space="preserve">机关事业单位基本养老保险缴费、职业年金缴费、职工基本医疗保险缴费、医疗费、离休费、退休费、生活补助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公用经费838,000.00元，主要包括</w:t>
      </w:r>
      <w:r>
        <w:rPr>
          <w:rFonts w:eastAsia="仿宋_GB2312" w:hint="eastAsia"/>
          <w:sz w:val="30"/>
          <w:szCs w:val="30"/>
          <w:highlight w:val="none"/>
          <w:lang w:val="en-US" w:eastAsia="zh-CN"/>
        </w:rPr>
        <w:t xml:space="preserve">电费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天津市海河医院2025年度无政府性基金预算财政拨款收入、支出和结转结余。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天津市海河医院2025年度无国有资本经营预算财政拨款收入、支出和结转结余。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决算数与预算数持平的主要原因是天津市海河医院2025年度无财政拨款“三公”经费支出；</w:t>
      </w:r>
      <w:r>
        <w:rPr>
          <w:rFonts w:eastAsia="仿宋_GB2312" w:hint="eastAsia"/>
          <w:sz w:val="30"/>
          <w:szCs w:val="30"/>
          <w:highlight w:val="none"/>
          <w:lang w:val="en-US" w:eastAsia="zh-CN"/>
        </w:rPr>
        <w:t xml:space="preserve">决算数较上年持平的主要原因是天津市海河医院2025年度无财政拨款“三公”经费支出。</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天津市海河医院2025年度无机关运行经费。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海河医院2025年政府采购支出总额47,320,997.00元，其中：政府采购货物支出8,336,420.00元、政府采购工程支出4,466,055.00元、政府采购服务支出34,518,522.00元。授予中小企业合同金额47,320,997.00元，占政府采购支出总额的100.00%，其中：授予小微企业合同金额23,973,677.00元，占政府采购支出总额的50.66%；货物采购授予中小企业合同金额占货物支出金额的100.00%，工程采购授予中小企业合同金额占工程支出金额的100.00%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截至2025年12月31日，天津市海河医院共有车辆6辆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特种专业技术用车2辆、其他用车4辆</w:t>
      </w:r>
      <w:r>
        <w:rPr>
          <w:rFonts w:eastAsia="仿宋_GB2312" w:hint="eastAsia"/>
          <w:sz w:val="30"/>
          <w:szCs w:val="30"/>
          <w:highlight w:val="none"/>
          <w:lang w:val="en-US" w:eastAsia="zh-CN"/>
        </w:rPr>
        <w:t xml:space="preserve">，其他用车主要包括公务出行用车2辆，待报废2辆</w:t>
      </w:r>
      <w:r>
        <w:rPr>
          <w:rFonts w:eastAsia="仿宋_GB2312" w:hint="eastAsia"/>
          <w:sz w:val="30"/>
          <w:szCs w:val="30"/>
          <w:highlight w:val="none"/>
          <w:lang w:val="en-US" w:eastAsia="zh-CN"/>
        </w:rPr>
        <w:t xml:space="preserve">。单价100万元以上的设备97台（套）。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根据预算绩效管理要求，天津市海河医院已对 21 个2025年度市级项目开展绩效自评，涉及金额43,997.86万元，自评结果已随部门决算一并公开。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天津市海河医院不属于乡、镇、街级单位，不涉及公开2025年度教育、医疗卫生、社会保障和就业、住房保障、涉农补贴等民生支出情况。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8376F696-8C04-4528-81A7-251B62B25365}"/>
    <w:embedBold r:id="rId2" w:subsetted="1" w:fontKey="{834B3F6B-30E2-45D5-894A-B3ECEFF943F4}"/>
  </w:font>
  <w:font w:name="Cambria">
    <w:panose1 w:val="02040503050406030204"/>
    <w:charset w:val="00"/>
    <w:family w:val="roman"/>
    <w:pitch w:val="default"/>
    <w:sig w:usb0="E00006FF" w:usb1="420024FF" w:usb2="02000000" w:usb3="00000000" w:csb0="2000019F" w:csb1="00000000"/>
    <w:embedRegular r:id="rId3" w:fontKey="{077E691C-A77E-46ED-9EF9-914BDAE2C460}"/>
  </w:font>
  <w:font w:name="Calibri">
    <w:panose1 w:val="020F0502020204030204"/>
    <w:charset w:val="00"/>
    <w:family w:val="swiss"/>
    <w:pitch w:val="default"/>
    <w:sig w:usb0="E4002EFF" w:usb1="C200247B" w:usb2="00000009" w:usb3="00000000" w:csb0="200001FF" w:csb1="00000000"/>
    <w:embedRegular r:id="rId4" w:fontKey="{E867D003-F771-4050-9324-6532B529A4D8}"/>
  </w:font>
  <w:font w:name="黑体">
    <w:panose1 w:val="02010609060101010101"/>
    <w:charset w:val="FFFFFF86"/>
    <w:family w:val="auto"/>
    <w:pitch w:val="default"/>
    <w:sig w:usb0="800002BF" w:usb1="38CF7CFA" w:usb2="00000016" w:usb3="00000000" w:csb0="00040001" w:csb1="00000000"/>
    <w:embedRegular r:id="rId5" w:subsetted="1" w:fontKey="{F44DF896-37BA-4A2E-BEB7-087E37CF62FB}"/>
    <w:embedBold r:id="rId6" w:subsetted="1" w:fontKey="{CF0FFF02-CB47-4AF2-B76A-B049207E376B}"/>
  </w:font>
  <w:font w:name="方正小标宋简体">
    <w:altName w:val="黑体"/>
    <w:panose1 w:val="02000000000000000000"/>
    <w:charset w:val="FFFFFF86"/>
    <w:family w:val="auto"/>
    <w:pitch w:val="default"/>
    <w:sig w:usb0="00000001" w:usb1="08000000" w:usb2="00000000" w:usb3="00000000" w:csb0="00040000" w:csb1="00000000"/>
    <w:embedRegular r:id="rId7" w:fontKey="{740C438F-AAAC-48D2-A6F9-444E87E0D2FF}"/>
    <w:embedBold r:id="rId8" w:fontKey="{E5AC424D-7258-42A0-99A8-099C9B4F67D6}"/>
  </w:font>
  <w:font w:name="仿宋">
    <w:panose1 w:val="02010609060101010101"/>
    <w:charset w:val="FFFFFF86"/>
    <w:family w:val="auto"/>
    <w:pitch w:val="default"/>
    <w:sig w:usb0="800002BF" w:usb1="38CF7CFA" w:usb2="00000016" w:usb3="00000000" w:csb0="00040001" w:csb1="00000000"/>
    <w:embedRegular r:id="rId9" w:subsetted="1" w:fontKey="{EC04F184-22ED-474A-BF7F-199A617A1016}"/>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C5A8E776-E7C0-4E6D-A738-521544C20F72}"/>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9D29F628-676F-4A91-A2A7-035D42AFD434}"/>
    <w:embedBold r:id="rId12" w:subsetted="1" w:fontKey="{0372795F-961C-4947-BBB6-B6ABFD1470C6}"/>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23</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32</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35</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